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200"/>
        <w:contextualSpacing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результатов изучения дисциплины 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«Рынок цифровых финансовых активов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для направления 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подготовки 38.03.01 «Экономика», бакалавриат</w:t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5"/>
        <w:gridCol w:w="7520"/>
        <w:gridCol w:w="1910"/>
      </w:tblGrid>
      <w:tr>
        <w:trPr>
          <w:trHeight w:val="60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left"/>
              <w:rPr>
                <w:rFonts w:eastAsia="Arial Unicode MS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Посещаемость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934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both"/>
              <w:rPr>
                <w:rFonts w:eastAsia="Arial Unicode MS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27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both"/>
              <w:rPr>
                <w:rFonts w:eastAsia="Arial Unicode MS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59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both"/>
              <w:rPr>
                <w:rFonts w:eastAsia="Arial Unicode MS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95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both"/>
              <w:rPr>
                <w:rFonts w:eastAsia="Arial Unicode MS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0"/>
              <w:jc w:val="left"/>
              <w:rPr>
                <w:rFonts w:eastAsia="Arial Unicode MS"/>
                <w:b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 Unicode MS" w:cs="Arial Unicode MS"/>
                <w:b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Всего за семестр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>
          <w:rFonts w:ascii="Arial" w:hAnsi="Arial" w:eastAsia="Times New Roman" w:cs="Arial"/>
          <w:color w:val="2C2D2E"/>
          <w:sz w:val="23"/>
          <w:szCs w:val="23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1" w:customStyle="1">
    <w:name w:val="По умолчанию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qFormat/>
    <w:rsid w:val="00ed088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96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LibreOffice/7.0.6.2$Linux_X86_64 LibreOffice_project/00$Build-2</Application>
  <AppVersion>15.0000</AppVersion>
  <Pages>1</Pages>
  <Words>138</Words>
  <Characters>940</Characters>
  <CharactersWithSpaces>1059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2024-09-02T08:32:00Z</dcterms:created>
  <dc:creator>Федорова Мария Львовна</dc:creator>
  <dc:description/>
  <dc:language>ru-RU</dc:language>
  <cp:lastModifiedBy/>
  <dcterms:modified xsi:type="dcterms:W3CDTF">2024-09-10T11:57:45Z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