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Схема БРС по дисциплине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7"/>
          <w:lang w:eastAsia="ru-RU"/>
        </w:rPr>
        <w:t>Управление комплексным социально-экономическом развитием муниципальных образований</w:t>
      </w:r>
      <w:r>
        <w:rPr>
          <w:rFonts w:ascii="Times New Roman" w:hAnsi="Times New Roman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 формы обучения направления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38.03.04 «Государственное и муниципальное управление»</w:t>
      </w:r>
    </w:p>
    <w:tbl>
      <w:tblPr>
        <w:tblW w:w="9217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6"/>
        <w:gridCol w:w="5935"/>
        <w:gridCol w:w="2626"/>
      </w:tblGrid>
      <w:tr>
        <w:trPr>
          <w:trHeight w:val="346" w:hRule="atLeast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22" w:hRule="atLeast"/>
        </w:trPr>
        <w:tc>
          <w:tcPr>
            <w:tcW w:w="6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9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6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 </w:t>
            </w: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4"/>
                <w:lang w:eastAsia="ru-RU"/>
              </w:rPr>
              <w:t>1-я аттестация: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активное вовлечение в интерактивный процесс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презентация по заданной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1.1.4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анализ конкретной ситуации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1.1.5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решение кейсов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</w:t>
            </w:r>
            <w:bookmarkStart w:id="0" w:name="_GoBack"/>
            <w:bookmarkEnd w:id="0"/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их заданий № 1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1.2.1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проектная работа (в малых группах) № 1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1.2.2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реферативный обзор доп. материала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1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1.3.1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>
        <w:trPr>
          <w:trHeight w:val="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1.3.2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1.3.3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>
        <w:trPr>
          <w:trHeight w:val="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1.3.4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4"/>
                <w:lang w:eastAsia="ru-RU"/>
              </w:rPr>
              <w:t>2-я аттестация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ответы на вопросы на семинарском занятии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активное вовлечение в интерактивный процесс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презентация по заданной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2.1.4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анализ конкретной ситуации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Cs w:val="24"/>
                <w:lang w:eastAsia="ru-RU"/>
              </w:rPr>
              <w:t>2.1.5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решение кейсов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2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2.2.1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проектная работа (в малых группах) № 2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2.2.2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написание реферата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2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2.3.1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lang w:eastAsia="ru-RU"/>
              </w:rPr>
              <w:t>выполнение домашней контрольной работы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2.3.2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2.3.3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блиц-опрос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>
        <w:trPr>
          <w:trHeight w:val="346" w:hRule="atLeast"/>
        </w:trPr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eastAsia="ru-RU"/>
              </w:rPr>
              <w:t>2.3.4</w:t>
            </w:r>
          </w:p>
        </w:tc>
        <w:tc>
          <w:tcPr>
            <w:tcW w:w="593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29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решение тестов по теме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0"/>
                <w:szCs w:val="24"/>
                <w:lang w:eastAsia="ru-RU"/>
              </w:rPr>
              <w:t>1,5</w:t>
            </w:r>
          </w:p>
        </w:tc>
      </w:tr>
      <w:tr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экзамен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rFonts w:ascii="Times New Roman" w:hAnsi="Times New Roman" w:eastAsia="Times New Roman"/>
                <w:b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2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6143-F9BD-4A7A-BCE8-E8F0EE52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LibreOffice/7.3.5.2$Linux_X86_64 LibreOffice_project/184fe81b8c8c30d8b5082578aee2fed2ea847c01</Application>
  <AppVersion>15.0000</AppVersion>
  <Pages>1</Pages>
  <Words>216</Words>
  <Characters>1209</Characters>
  <CharactersWithSpaces>1327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2022-11-11T06:29:00Z</dcterms:created>
  <dc:creator>Светлана</dc:creator>
  <dc:description/>
  <dc:language>ru-RU</dc:language>
  <cp:lastModifiedBy/>
  <dcterms:modified xsi:type="dcterms:W3CDTF">2023-03-02T14:47:32Z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